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92CAB" w14:textId="77777777" w:rsidR="0081254F" w:rsidRDefault="00000000" w:rsidP="00DA2F1A">
      <w:pPr>
        <w:pStyle w:val="Heading1"/>
        <w:spacing w:after="220"/>
        <w:jc w:val="center"/>
      </w:pPr>
      <w:r>
        <w:rPr>
          <w:rFonts w:eastAsia="Georgia" w:hAnsi="Georgia" w:cs="Georgia"/>
        </w:rPr>
        <w:t>Math 1030 #15C</w:t>
      </w:r>
      <w:r>
        <w:br/>
        <w:t>More about Carrying Capacity and Logistic Growth</w:t>
      </w:r>
    </w:p>
    <w:p w14:paraId="05B82EBE" w14:textId="77777777" w:rsidR="00D5358E" w:rsidRDefault="00D5358E">
      <w:pPr>
        <w:spacing w:after="220"/>
      </w:pPr>
    </w:p>
    <w:p w14:paraId="48D35272" w14:textId="124BEC62" w:rsidR="0081254F" w:rsidRDefault="00000000">
      <w:pPr>
        <w:spacing w:after="220"/>
      </w:pPr>
      <w:r>
        <w:t xml:space="preserve">The </w:t>
      </w:r>
      <w:r w:rsidRPr="00D5358E">
        <w:rPr>
          <w:u w:val="single"/>
        </w:rPr>
        <w:t>carrying capacity</w:t>
      </w:r>
      <w:r>
        <w:t xml:space="preserve"> of a biological species in an environment is the maximum population size of the species that the environment can sustain indefinitely, given the food, habitat, water, and other necessities available in the environment.</w:t>
      </w:r>
    </w:p>
    <w:p w14:paraId="6E0EAD56" w14:textId="2AC750CE" w:rsidR="0081254F" w:rsidRDefault="00000000">
      <w:pPr>
        <w:spacing w:after="220"/>
      </w:pPr>
      <w:r>
        <w:t>The rate of population growth decreases as the population approaches the carrying capacity. If the population equals carrying capacity, the growth rate is 0.</w:t>
      </w:r>
    </w:p>
    <w:p w14:paraId="441CB8D9" w14:textId="77777777" w:rsidR="0081254F" w:rsidRDefault="00000000">
      <w:pPr>
        <w:spacing w:after="220"/>
      </w:pPr>
      <w:r>
        <w:t xml:space="preserve">The </w:t>
      </w:r>
      <w:r w:rsidRPr="00D5358E">
        <w:rPr>
          <w:u w:val="single"/>
        </w:rPr>
        <w:t>Logistic Growth Model</w:t>
      </w:r>
      <w:r>
        <w:t xml:space="preserve"> is based on the assumption that the growth rate decreases smoothly and becomes 0 when the carrying capacity is reached.</w:t>
      </w:r>
    </w:p>
    <w:p w14:paraId="1CEC395F" w14:textId="77777777" w:rsidR="0081254F" w:rsidRDefault="00000000">
      <w:pPr>
        <w:spacing w:after="220"/>
      </w:pPr>
      <m:oMathPara>
        <m:oMath>
          <m:m>
            <m:mPr>
              <m:plcHide m:val="1"/>
              <m:mcs>
                <m:mc>
                  <m:mcPr>
                    <m:count m:val="1"/>
                    <m:mcJc m:val="center"/>
                  </m:mcPr>
                </m:mc>
              </m:mcs>
              <m:ctrlPr>
                <w:rPr>
                  <w:rFonts w:ascii="Cambria Math" w:hAnsi="Cambria Math"/>
                  <w:i/>
                </w:rPr>
              </m:ctrlPr>
            </m:mPr>
            <m:mr>
              <m:e>
                <m:r>
                  <m:rPr>
                    <m:sty m:val="p"/>
                  </m:rPr>
                  <w:rPr>
                    <w:rFonts w:ascii="Cambria Math" w:hAnsi="Cambria Math"/>
                  </w:rPr>
                  <m:t>lgr=</m:t>
                </m:r>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nor/>
                          </m:rPr>
                          <m:t> </m:t>
                        </m:r>
                        <m:r>
                          <m:rPr>
                            <m:nor/>
                          </m:rPr>
                          <m:t>population</m:t>
                        </m:r>
                        <m:r>
                          <m:rPr>
                            <m:nor/>
                          </m:rPr>
                          <m:t> </m:t>
                        </m:r>
                      </m:num>
                      <m:den>
                        <m:r>
                          <m:rPr>
                            <m:nor/>
                          </m:rPr>
                          <m:t> </m:t>
                        </m:r>
                        <m:r>
                          <m:rPr>
                            <m:nor/>
                          </m:rPr>
                          <m:t>carrying capacity</m:t>
                        </m:r>
                        <m:r>
                          <m:rPr>
                            <m:nor/>
                          </m:rPr>
                          <m:t> </m:t>
                        </m:r>
                      </m:den>
                    </m:f>
                  </m:e>
                </m:d>
              </m:e>
            </m:mr>
            <m:mr>
              <m:e>
                <m:r>
                  <m:rPr>
                    <m:sty m:val="p"/>
                  </m:rPr>
                  <w:rPr>
                    <w:rFonts w:ascii="Cambria Math" w:hAnsi="Cambria Math"/>
                  </w:rPr>
                  <m:t>lgr=</m:t>
                </m:r>
                <m:r>
                  <m:rPr>
                    <m:nor/>
                  </m:rPr>
                  <m:t> </m:t>
                </m:r>
                <m:r>
                  <m:rPr>
                    <m:nor/>
                  </m:rPr>
                  <m:t>logistic growth rate</m:t>
                </m:r>
                <m:r>
                  <m:rPr>
                    <m:nor/>
                  </m:rPr>
                  <m:t> </m:t>
                </m:r>
              </m:e>
            </m:mr>
            <m:mr>
              <m:e>
                <m:r>
                  <w:rPr>
                    <w:rFonts w:ascii="Cambria Math" w:hAnsi="Cambria Math"/>
                  </w:rPr>
                  <m:t>r</m:t>
                </m:r>
                <m:r>
                  <m:rPr>
                    <m:sty m:val="p"/>
                  </m:rPr>
                  <w:rPr>
                    <w:rFonts w:ascii="Cambria Math" w:hAnsi="Cambria Math"/>
                  </w:rPr>
                  <m:t>=</m:t>
                </m:r>
                <m:r>
                  <m:rPr>
                    <m:nor/>
                  </m:rPr>
                  <m:t> </m:t>
                </m:r>
                <m:r>
                  <m:rPr>
                    <m:nor/>
                  </m:rPr>
                  <m:t>initial</m:t>
                </m:r>
                <m:r>
                  <m:rPr>
                    <m:nor/>
                  </m:rPr>
                  <m:t> </m:t>
                </m:r>
                <m:r>
                  <m:rPr>
                    <m:sty m:val="p"/>
                  </m:rPr>
                  <w:rPr>
                    <w:rFonts w:ascii="Cambria Math" w:hAnsi="Cambria Math"/>
                  </w:rPr>
                  <m:t>/</m:t>
                </m:r>
                <m:r>
                  <m:rPr>
                    <m:nor/>
                  </m:rPr>
                  <m:t> </m:t>
                </m:r>
                <m:r>
                  <m:rPr>
                    <m:nor/>
                  </m:rPr>
                  <m:t>base/overall growth rate</m:t>
                </m:r>
                <m:r>
                  <m:rPr>
                    <m:nor/>
                  </m:rPr>
                  <m:t> </m:t>
                </m:r>
              </m:e>
            </m:mr>
          </m:m>
        </m:oMath>
      </m:oMathPara>
    </w:p>
    <w:p w14:paraId="6043106B" w14:textId="77777777" w:rsidR="00D5358E" w:rsidRDefault="00D5358E">
      <w:pPr>
        <w:rPr>
          <w:b/>
          <w:sz w:val="28"/>
        </w:rPr>
      </w:pPr>
      <w:r>
        <w:br w:type="page"/>
      </w:r>
    </w:p>
    <w:p w14:paraId="2D61B180" w14:textId="3B73B066" w:rsidR="0081254F" w:rsidRDefault="00000000" w:rsidP="00D5358E">
      <w:r>
        <w:lastRenderedPageBreak/>
        <w:t>A graph of what logistic growth looks like:</w:t>
      </w:r>
      <w:r>
        <w:br/>
      </w:r>
    </w:p>
    <w:p w14:paraId="17E359FD" w14:textId="77777777" w:rsidR="0081254F" w:rsidRDefault="00000000">
      <w:pPr>
        <w:jc w:val="center"/>
      </w:pPr>
      <w:r>
        <w:rPr>
          <w:noProof/>
        </w:rPr>
        <w:drawing>
          <wp:inline distT="0" distB="0" distL="0" distR="0" wp14:anchorId="374CFCFA" wp14:editId="1F91CC41">
            <wp:extent cx="5486400" cy="3652003"/>
            <wp:effectExtent l="0" t="0" r="0" b="0"/>
            <wp:docPr id="1" name="image-ae2a400c129f9ac746ba3d25ff4e147c7c68d1f1.jpg" descr="Line graph with axes labeled 'population' and 'time'. A blue dashed horizontal line is labeled 'carrying capacity' with a downward arrow pointing to it. A red S-shaped curve rises and then levels off along the dashed line, ending with a right-pointing arrow."/>
            <wp:cNvGraphicFramePr/>
            <a:graphic xmlns:a="http://schemas.openxmlformats.org/drawingml/2006/main">
              <a:graphicData uri="http://schemas.openxmlformats.org/drawingml/2006/picture">
                <pic:pic xmlns:pic="http://schemas.openxmlformats.org/drawingml/2006/picture">
                  <pic:nvPicPr>
                    <pic:cNvPr id="1" name="image-ae2a400c129f9ac746ba3d25ff4e147c7c68d1f1.jpg"/>
                    <pic:cNvPicPr/>
                  </pic:nvPicPr>
                  <pic:blipFill>
                    <a:blip r:embed="rId5" cstate="print"/>
                    <a:srcRect/>
                    <a:stretch>
                      <a:fillRect/>
                    </a:stretch>
                  </pic:blipFill>
                  <pic:spPr>
                    <a:xfrm>
                      <a:off x="0" y="0"/>
                      <a:ext cx="5486400" cy="3652003"/>
                    </a:xfrm>
                    <a:prstGeom prst="rect">
                      <a:avLst/>
                    </a:prstGeom>
                  </pic:spPr>
                </pic:pic>
              </a:graphicData>
            </a:graphic>
          </wp:inline>
        </w:drawing>
      </w:r>
    </w:p>
    <w:p w14:paraId="07FFF443" w14:textId="77777777" w:rsidR="0081254F" w:rsidRDefault="00000000">
      <w:pPr>
        <w:spacing w:after="220"/>
      </w:pPr>
      <w:r>
        <w:br/>
      </w:r>
    </w:p>
    <w:p w14:paraId="014A6E68" w14:textId="77777777" w:rsidR="0081254F" w:rsidRDefault="00000000">
      <w:pPr>
        <w:jc w:val="center"/>
      </w:pPr>
      <w:r>
        <w:rPr>
          <w:noProof/>
        </w:rPr>
        <w:drawing>
          <wp:inline distT="0" distB="0" distL="0" distR="0" wp14:anchorId="37558D64" wp14:editId="681DFC82">
            <wp:extent cx="5486400" cy="3482707"/>
            <wp:effectExtent l="0" t="0" r="0" b="0"/>
            <wp:docPr id="2" name="image-f9314d9019958eae709d4b570145a9e82f7bca0d.jpg" descr="Line graph with axes labeled 'population' and 'time'. A blue dashed horizontal line is labeled 'carrying capacity' with a downward arrow pointing to it. A red curve rises, crosses the dashed line, peaks above it, then dips and levels off near the dashed line."/>
            <wp:cNvGraphicFramePr/>
            <a:graphic xmlns:a="http://schemas.openxmlformats.org/drawingml/2006/main">
              <a:graphicData uri="http://schemas.openxmlformats.org/drawingml/2006/picture">
                <pic:pic xmlns:pic="http://schemas.openxmlformats.org/drawingml/2006/picture">
                  <pic:nvPicPr>
                    <pic:cNvPr id="2" name="image-f9314d9019958eae709d4b570145a9e82f7bca0d.jpg"/>
                    <pic:cNvPicPr/>
                  </pic:nvPicPr>
                  <pic:blipFill>
                    <a:blip r:embed="rId6" cstate="print"/>
                    <a:srcRect/>
                    <a:stretch>
                      <a:fillRect/>
                    </a:stretch>
                  </pic:blipFill>
                  <pic:spPr>
                    <a:xfrm>
                      <a:off x="0" y="0"/>
                      <a:ext cx="5486400" cy="3482707"/>
                    </a:xfrm>
                    <a:prstGeom prst="rect">
                      <a:avLst/>
                    </a:prstGeom>
                  </pic:spPr>
                </pic:pic>
              </a:graphicData>
            </a:graphic>
          </wp:inline>
        </w:drawing>
      </w:r>
    </w:p>
    <w:p w14:paraId="1F7A4AE0" w14:textId="77777777" w:rsidR="0081254F" w:rsidRDefault="00000000">
      <w:pPr>
        <w:spacing w:after="220"/>
      </w:pPr>
      <w:r>
        <w:lastRenderedPageBreak/>
        <w:t xml:space="preserve">The </w:t>
      </w:r>
      <w:r w:rsidRPr="00D5358E">
        <w:rPr>
          <w:u w:val="single"/>
        </w:rPr>
        <w:t>carrying capacity of Earth</w:t>
      </w:r>
      <w:r>
        <w:t xml:space="preserve"> is number of people that Earth can support for long period of time.</w:t>
      </w:r>
    </w:p>
    <w:p w14:paraId="3197249B" w14:textId="77777777" w:rsidR="0081254F" w:rsidRDefault="00000000">
      <w:pPr>
        <w:spacing w:after="220"/>
      </w:pPr>
      <w:r>
        <w:t>If the population of earth is logistic, the rate of population growth will slow as the carrying capacity is approached.</w:t>
      </w:r>
    </w:p>
    <w:p w14:paraId="71C014A6" w14:textId="77777777" w:rsidR="00D5358E" w:rsidRDefault="00000000" w:rsidP="00D5358E">
      <w:pPr>
        <w:pStyle w:val="Heading2"/>
      </w:pPr>
      <w:r>
        <w:t xml:space="preserve">Ex 1: </w:t>
      </w:r>
    </w:p>
    <w:p w14:paraId="0E641A40" w14:textId="2E5443F7" w:rsidR="0081254F" w:rsidRDefault="00000000">
      <w:pPr>
        <w:spacing w:after="220"/>
      </w:pPr>
      <w:r>
        <w:t xml:space="preserve">The earth's population appears to have been growing logistically since 1960. If the base growth rate was </w:t>
      </w:r>
      <m:oMath>
        <m:r>
          <m:rPr>
            <m:sty m:val="p"/>
          </m:rPr>
          <w:rPr>
            <w:rFonts w:ascii="Cambria Math" w:hAnsi="Cambria Math"/>
          </w:rPr>
          <m:t>2.80%</m:t>
        </m:r>
      </m:oMath>
      <w:r>
        <w:t xml:space="preserve">, the current population is 7.74 billion and the current growth rate is </w:t>
      </w:r>
      <m:oMath>
        <m:r>
          <m:rPr>
            <m:sty m:val="p"/>
          </m:rPr>
          <w:rPr>
            <w:rFonts w:ascii="Cambria Math" w:hAnsi="Cambria Math"/>
          </w:rPr>
          <m:t>1.08%</m:t>
        </m:r>
      </m:oMath>
      <w:r>
        <w:t>, what would the projected carrying capacity be?</w:t>
      </w:r>
    </w:p>
    <w:p w14:paraId="314FD378" w14:textId="77777777" w:rsidR="0081254F" w:rsidRDefault="00000000">
      <w:pPr>
        <w:spacing w:after="220"/>
      </w:pPr>
      <m:oMathPara>
        <m:oMath>
          <m:r>
            <m:rPr>
              <m:sty m:val="p"/>
            </m:rPr>
            <w:rPr>
              <w:rFonts w:ascii="Cambria Math" w:hAnsi="Cambria Math"/>
            </w:rPr>
            <m:t>lgr=</m:t>
          </m:r>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nor/>
                    </m:rPr>
                    <m:t> </m:t>
                  </m:r>
                  <m:r>
                    <m:rPr>
                      <m:nor/>
                    </m:rPr>
                    <m:t>population</m:t>
                  </m:r>
                  <m:r>
                    <m:rPr>
                      <m:nor/>
                    </m:rPr>
                    <m:t> </m:t>
                  </m:r>
                </m:num>
                <m:den>
                  <m:r>
                    <m:rPr>
                      <m:nor/>
                    </m:rPr>
                    <m:t> </m:t>
                  </m:r>
                  <m:r>
                    <m:rPr>
                      <m:nor/>
                    </m:rPr>
                    <m:t>carrying capacity</m:t>
                  </m:r>
                  <m:r>
                    <m:rPr>
                      <m:nor/>
                    </m:rPr>
                    <m:t> </m:t>
                  </m:r>
                </m:den>
              </m:f>
            </m:e>
          </m:d>
        </m:oMath>
      </m:oMathPara>
    </w:p>
    <w:p w14:paraId="1E4F6816" w14:textId="77777777" w:rsidR="00D5358E" w:rsidRDefault="00D5358E">
      <w:r>
        <w:br w:type="page"/>
      </w:r>
    </w:p>
    <w:p w14:paraId="57027492" w14:textId="77777777" w:rsidR="00D5358E" w:rsidRDefault="00000000" w:rsidP="00D5358E">
      <w:pPr>
        <w:pStyle w:val="Heading2"/>
      </w:pPr>
      <w:r>
        <w:lastRenderedPageBreak/>
        <w:t xml:space="preserve">Ex 2 </w:t>
      </w:r>
    </w:p>
    <w:p w14:paraId="4878A182" w14:textId="77777777" w:rsidR="00D5358E" w:rsidRDefault="00000000">
      <w:pPr>
        <w:spacing w:after="220"/>
      </w:pPr>
      <w:r>
        <w:t xml:space="preserve">Suppose the population a population of bacteria in a petri dish has a base growth rate of </w:t>
      </w:r>
      <m:oMath>
        <m:r>
          <m:rPr>
            <m:sty m:val="p"/>
          </m:rPr>
          <w:rPr>
            <w:rFonts w:ascii="Cambria Math" w:hAnsi="Cambria Math"/>
          </w:rPr>
          <m:t>15%</m:t>
        </m:r>
      </m:oMath>
      <w:r>
        <w:t>. The carrying capacity of the petri dish is 90 billion bacteria. Assume that this bacterial growth can be modeled with a logistic growth model.</w:t>
      </w:r>
    </w:p>
    <w:p w14:paraId="33629E8F" w14:textId="076FE28A" w:rsidR="00D5358E" w:rsidRPr="00D5358E" w:rsidRDefault="00000000" w:rsidP="00D5358E">
      <w:pPr>
        <w:pStyle w:val="ListParagraph"/>
        <w:numPr>
          <w:ilvl w:val="0"/>
          <w:numId w:val="2"/>
        </w:numPr>
        <w:spacing w:after="220"/>
        <w:rPr>
          <w:rFonts w:eastAsiaTheme="minorEastAsia"/>
        </w:rPr>
      </w:pPr>
      <w:r>
        <w:t>What is the growth rate when there are 50 billion bacteria?</w:t>
      </w:r>
      <w:r w:rsidR="00D5358E">
        <w:br/>
      </w:r>
      <m:oMathPara>
        <m:oMath>
          <m:r>
            <m:rPr>
              <m:sty m:val="b"/>
            </m:rPr>
            <w:rPr>
              <w:rFonts w:ascii="Cambria Math" w:hAnsi="Cambria Math"/>
            </w:rPr>
            <m:t>lgr</m:t>
          </m:r>
          <m:r>
            <m:rPr>
              <m:sty m:val="p"/>
            </m:rPr>
            <w:rPr>
              <w:rFonts w:ascii="Cambria Math" w:hAnsi="Cambria Math"/>
            </w:rPr>
            <m:t>=</m:t>
          </m:r>
          <m:r>
            <w:rPr>
              <w:rFonts w:ascii="Cambria Math" w:hAnsi="Cambria Math"/>
            </w:rPr>
            <m:t>r</m:t>
          </m:r>
          <m:r>
            <m:rPr>
              <m:sty m:val="p"/>
            </m:rPr>
            <w:rPr>
              <w:rFonts w:ascii="Cambria Math" w:hAnsi="Cambria Math"/>
            </w:rPr>
            <m:t>⋅</m:t>
          </m:r>
          <m:d>
            <m:dPr>
              <m:ctrlPr>
                <w:rPr>
                  <w:rFonts w:ascii="Cambria Math" w:hAnsi="Cambria Math"/>
                </w:rPr>
              </m:ctrlPr>
            </m:dPr>
            <m:e>
              <m:r>
                <m:rPr>
                  <m:sty m:val="p"/>
                </m:rPr>
                <w:rPr>
                  <w:rFonts w:ascii="Cambria Math" w:hAnsi="Cambria Math"/>
                </w:rPr>
                <m:t>1-</m:t>
              </m:r>
              <m:f>
                <m:fPr>
                  <m:ctrlPr>
                    <w:rPr>
                      <w:rFonts w:ascii="Cambria Math" w:hAnsi="Cambria Math"/>
                    </w:rPr>
                  </m:ctrlPr>
                </m:fPr>
                <m:num>
                  <m:r>
                    <m:rPr>
                      <m:nor/>
                    </m:rPr>
                    <m:t> </m:t>
                  </m:r>
                  <m:r>
                    <m:rPr>
                      <m:nor/>
                    </m:rPr>
                    <m:t>population</m:t>
                  </m:r>
                  <m:r>
                    <m:rPr>
                      <m:nor/>
                    </m:rPr>
                    <m:t> </m:t>
                  </m:r>
                </m:num>
                <m:den>
                  <m:r>
                    <m:rPr>
                      <m:nor/>
                    </m:rPr>
                    <m:t> </m:t>
                  </m:r>
                  <m:r>
                    <m:rPr>
                      <m:nor/>
                    </m:rPr>
                    <m:t>carrying capacity</m:t>
                  </m:r>
                  <m:r>
                    <m:rPr>
                      <m:nor/>
                    </m:rPr>
                    <m:t> </m:t>
                  </m:r>
                </m:den>
              </m:f>
            </m:e>
          </m:d>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r>
            <w:rPr>
              <w:rFonts w:eastAsiaTheme="minorEastAsia"/>
            </w:rPr>
            <w:br/>
          </m:r>
        </m:oMath>
      </m:oMathPara>
    </w:p>
    <w:p w14:paraId="2D43ABD1" w14:textId="4A5D6F20" w:rsidR="00D5358E" w:rsidRDefault="00000000" w:rsidP="00D5358E">
      <w:pPr>
        <w:pStyle w:val="ListParagraph"/>
        <w:numPr>
          <w:ilvl w:val="0"/>
          <w:numId w:val="2"/>
        </w:numPr>
        <w:spacing w:after="220"/>
      </w:pPr>
      <w:r>
        <w:t>Is the growth rate higher of lower than the answer for part a. when there are 40 billion bacteria? 90 billion?</w:t>
      </w:r>
      <w:r w:rsidR="00D5358E">
        <w:br/>
      </w:r>
      <w:r w:rsidR="00D5358E">
        <w:br/>
      </w:r>
      <w:r w:rsidR="00D5358E">
        <w:br/>
      </w:r>
      <w:r w:rsidR="00D5358E">
        <w:br/>
      </w:r>
      <w:r w:rsidR="00D5358E">
        <w:br/>
      </w:r>
      <w:r w:rsidR="00D5358E">
        <w:br/>
      </w:r>
      <w:r w:rsidR="00D5358E">
        <w:br/>
      </w:r>
      <w:r w:rsidR="00D5358E">
        <w:br/>
      </w:r>
      <w:r w:rsidR="00D5358E">
        <w:br/>
      </w:r>
      <w:r w:rsidR="00D5358E">
        <w:br/>
      </w:r>
      <w:r w:rsidR="00D5358E">
        <w:br/>
      </w:r>
    </w:p>
    <w:p w14:paraId="067450D0" w14:textId="70B84356" w:rsidR="0081254F" w:rsidRPr="00D5358E" w:rsidRDefault="00000000" w:rsidP="00D5358E">
      <w:pPr>
        <w:pStyle w:val="ListParagraph"/>
        <w:numPr>
          <w:ilvl w:val="0"/>
          <w:numId w:val="2"/>
        </w:numPr>
        <w:spacing w:after="220"/>
        <w:rPr>
          <w:rFonts w:eastAsiaTheme="minorEastAsia"/>
        </w:rPr>
      </w:pPr>
      <w:r>
        <w:t>Suppose the population is 95 billion. Find and interpret the growth rate.</w:t>
      </w:r>
    </w:p>
    <w:sectPr w:rsidR="0081254F" w:rsidRPr="00D5358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616E66"/>
    <w:multiLevelType w:val="hybridMultilevel"/>
    <w:tmpl w:val="2B885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E770B9"/>
    <w:multiLevelType w:val="hybridMultilevel"/>
    <w:tmpl w:val="931656FC"/>
    <w:lvl w:ilvl="0" w:tplc="9F18D99A">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4953632">
    <w:abstractNumId w:val="0"/>
  </w:num>
  <w:num w:numId="2" w16cid:durableId="201838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54F"/>
    <w:rsid w:val="00465887"/>
    <w:rsid w:val="0081254F"/>
    <w:rsid w:val="00A8517B"/>
    <w:rsid w:val="00D5358E"/>
    <w:rsid w:val="00DA2F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6782EC"/>
  <w15:docId w15:val="{D5A4CC17-433A-6B48-8C0B-48214E0BE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semiHidden/>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D5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276</Words>
  <Characters>1574</Characters>
  <Application>Microsoft Office Word</Application>
  <DocSecurity>0</DocSecurity>
  <Lines>13</Lines>
  <Paragraphs>3</Paragraphs>
  <ScaleCrop>false</ScaleCrop>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1030 #15c - More about Carrying Capacity and Logistic Growth</dc:title>
  <dc:subject/>
  <dc:creator>html-to-docx</dc:creator>
  <cp:keywords>html-to-docx</cp:keywords>
  <dc:description/>
  <cp:lastModifiedBy>Aryaman Maithani</cp:lastModifiedBy>
  <cp:revision>3</cp:revision>
  <dcterms:created xsi:type="dcterms:W3CDTF">2026-03-02T17:02:00Z</dcterms:created>
  <dcterms:modified xsi:type="dcterms:W3CDTF">2026-03-30T03:17:00Z</dcterms:modified>
</cp:coreProperties>
</file>