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4AA2B" w14:textId="43CC9696" w:rsidR="00EE1024" w:rsidRDefault="0031347D" w:rsidP="001A4D74">
      <w:pPr>
        <w:pStyle w:val="Heading1"/>
        <w:jc w:val="center"/>
      </w:pPr>
      <w:r>
        <w:t>Math 1030 #17E</w:t>
      </w:r>
      <w:r w:rsidR="001A4D74">
        <w:br/>
      </w:r>
      <w:r>
        <w:t>Scaling:</w:t>
      </w:r>
      <w:r w:rsidR="001A4D74">
        <w:br/>
      </w:r>
      <w:r>
        <w:t>Starting with Area and Volume</w:t>
      </w:r>
    </w:p>
    <w:p w14:paraId="632356F1" w14:textId="77777777" w:rsidR="001A4D74" w:rsidRDefault="001A4D74">
      <w:pPr>
        <w:spacing w:after="220"/>
      </w:pPr>
    </w:p>
    <w:p w14:paraId="31A12776" w14:textId="1AB9C0BA" w:rsidR="00EE1024" w:rsidRDefault="0031347D">
      <w:pPr>
        <w:spacing w:after="220"/>
      </w:pPr>
      <w:r>
        <w:t>If there are two proportionately identical objects, the scale factor is the number you multiply the lengths of the original object to get the lengths of the new object</w:t>
      </w:r>
    </w:p>
    <w:p w14:paraId="0E73ACAB" w14:textId="77777777" w:rsidR="00EE1024" w:rsidRDefault="0031347D">
      <w:pPr>
        <w:pStyle w:val="Heading1"/>
        <w:spacing w:before="330" w:line="271" w:lineRule="auto"/>
      </w:pPr>
      <w:bookmarkStart w:id="0" w:name="scaling_laws"/>
      <w:r>
        <w:rPr>
          <w:sz w:val="42"/>
        </w:rPr>
        <w:t>Scaling Laws:</w:t>
      </w:r>
      <w:bookmarkEnd w:id="0"/>
    </w:p>
    <w:p w14:paraId="06B3C496" w14:textId="77777777" w:rsidR="00EE1024" w:rsidRDefault="0031347D">
      <w:pPr>
        <w:numPr>
          <w:ilvl w:val="0"/>
          <w:numId w:val="1"/>
        </w:numPr>
      </w:pPr>
      <w:r>
        <w:t>Lengths scale with the scaling factor</w:t>
      </w:r>
    </w:p>
    <w:p w14:paraId="39896544" w14:textId="77777777" w:rsidR="00EE1024" w:rsidRDefault="0031347D">
      <w:pPr>
        <w:numPr>
          <w:ilvl w:val="0"/>
          <w:numId w:val="1"/>
        </w:numPr>
      </w:pPr>
      <w:r>
        <w:t>Areas scale with the square of the scaling factor</w:t>
      </w:r>
    </w:p>
    <w:p w14:paraId="66FEB313" w14:textId="77777777" w:rsidR="00EE1024" w:rsidRDefault="0031347D">
      <w:pPr>
        <w:numPr>
          <w:ilvl w:val="0"/>
          <w:numId w:val="1"/>
        </w:numPr>
      </w:pPr>
      <w:r>
        <w:t>Volumes scale with the cube of the scaling Factor</w:t>
      </w:r>
    </w:p>
    <w:p w14:paraId="59221F9C" w14:textId="77777777" w:rsidR="001A4D74" w:rsidRDefault="001A4D74" w:rsidP="001A4D74"/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839"/>
        <w:gridCol w:w="570"/>
        <w:gridCol w:w="2370"/>
        <w:gridCol w:w="2841"/>
      </w:tblGrid>
      <w:tr w:rsidR="00EE1024" w14:paraId="1740204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8C3C8" w14:textId="77777777" w:rsidR="00EE1024" w:rsidRDefault="0031347D">
            <w:r>
              <w:t>Variation on Terminology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BAE5E" w14:textId="77777777" w:rsidR="00EE1024" w:rsidRDefault="00EE1024"/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D1666" w14:textId="77777777" w:rsidR="00EE1024" w:rsidRDefault="0031347D">
            <w:r>
              <w:t>When length doubles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1477C" w14:textId="77777777" w:rsidR="00EE1024" w:rsidRDefault="0031347D">
            <w:r>
              <w:t xml:space="preserve">When length is scaled by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</w:tr>
      <w:tr w:rsidR="00EE1024" w14:paraId="5100DE2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2775F" w14:textId="77777777" w:rsidR="00EE1024" w:rsidRDefault="0031347D">
            <w:r>
              <w:t>Length Scale Factor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4A207F" w14:textId="77777777" w:rsidR="00EE1024" w:rsidRDefault="0031347D"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а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9CD8FAF" w14:textId="77777777" w:rsidR="00EE1024" w:rsidRDefault="0031347D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E0E2DD4" w14:textId="77777777" w:rsidR="00EE1024" w:rsidRDefault="0031347D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EE1024" w14:paraId="221C99D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76A97" w14:textId="77777777" w:rsidR="00EE1024" w:rsidRDefault="0031347D">
            <w:r>
              <w:t>Area Scale Factor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9A0F654" w14:textId="77777777" w:rsidR="00EE1024" w:rsidRDefault="0031347D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16B554" w14:textId="77777777" w:rsidR="00EE1024" w:rsidRDefault="0031347D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53735ED" w14:textId="77777777" w:rsidR="00EE1024" w:rsidRDefault="0031347D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9</m:t>
                    </m:r>
                  </m:den>
                </m:f>
              </m:oMath>
            </m:oMathPara>
          </w:p>
        </w:tc>
      </w:tr>
      <w:tr w:rsidR="00EE1024" w14:paraId="3289938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6B7A7" w14:textId="77777777" w:rsidR="00EE1024" w:rsidRDefault="0031347D">
            <w:r>
              <w:t>Volume Scale Factor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A0066BF" w14:textId="77777777" w:rsidR="00EE1024" w:rsidRDefault="0031347D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728880" w14:textId="77777777" w:rsidR="00EE1024" w:rsidRDefault="0031347D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=8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EB6B8C" w14:textId="77777777" w:rsidR="00EE1024" w:rsidRDefault="0031347D"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27</m:t>
                    </m:r>
                  </m:den>
                </m:f>
              </m:oMath>
            </m:oMathPara>
          </w:p>
        </w:tc>
      </w:tr>
    </w:tbl>
    <w:p w14:paraId="62EE832E" w14:textId="77777777" w:rsidR="00EE1024" w:rsidRDefault="00EE1024"/>
    <w:p w14:paraId="26C0AEAF" w14:textId="77777777" w:rsidR="001A4D74" w:rsidRDefault="001A4D74">
      <w:r>
        <w:br w:type="page"/>
      </w:r>
    </w:p>
    <w:p w14:paraId="4332EC73" w14:textId="77777777" w:rsidR="001A4D74" w:rsidRDefault="0031347D" w:rsidP="00FA7A8E">
      <w:pPr>
        <w:pStyle w:val="Heading2"/>
      </w:pPr>
      <w:r>
        <w:lastRenderedPageBreak/>
        <w:t xml:space="preserve">EX 1: </w:t>
      </w:r>
    </w:p>
    <w:p w14:paraId="43D533B3" w14:textId="77777777" w:rsidR="001A4D74" w:rsidRDefault="0031347D" w:rsidP="001A4D74">
      <w:pPr>
        <w:spacing w:after="220"/>
      </w:pPr>
      <w:r>
        <w:t xml:space="preserve">A squeezable stress toy has a smaller and larger version, which are proportional to each other. There is </w:t>
      </w:r>
      <w:proofErr w:type="gramStart"/>
      <w:r>
        <w:t>The</w:t>
      </w:r>
      <w:proofErr w:type="gramEnd"/>
      <w:r>
        <w:t xml:space="preserve"> small toy has surface area 0.8 square feet and the large toy </w:t>
      </w:r>
      <w:proofErr w:type="gramStart"/>
      <w:r>
        <w:t>has</w:t>
      </w:r>
      <w:proofErr w:type="gramEnd"/>
      <w:r>
        <w:t xml:space="preserve"> surface area 1.5 square feet.</w:t>
      </w:r>
    </w:p>
    <w:p w14:paraId="652D251B" w14:textId="3C07EDD3" w:rsidR="001A4D74" w:rsidRDefault="001A4D74" w:rsidP="001A4D74">
      <w:pPr>
        <w:pStyle w:val="ListParagraph"/>
        <w:numPr>
          <w:ilvl w:val="0"/>
          <w:numId w:val="3"/>
        </w:numPr>
        <w:spacing w:after="220"/>
      </w:pPr>
      <w:r>
        <w:t>Find the length, area, and volume scale factors.</w:t>
      </w:r>
      <w:r>
        <w:br/>
      </w:r>
      <w:r>
        <w:br/>
      </w:r>
      <w:r>
        <w:br/>
      </w:r>
      <w:r>
        <w:br/>
      </w:r>
      <w:r>
        <w:br/>
      </w:r>
    </w:p>
    <w:p w14:paraId="0FF556CD" w14:textId="23E91711" w:rsidR="001A4D74" w:rsidRDefault="001A4D74" w:rsidP="001A4D74">
      <w:pPr>
        <w:pStyle w:val="ListParagraph"/>
        <w:numPr>
          <w:ilvl w:val="0"/>
          <w:numId w:val="3"/>
        </w:numPr>
        <w:spacing w:after="220"/>
      </w:pPr>
      <w:r>
        <w:t>If the length of the small toy is 5 inches, find the length of the larger toy in inches.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32B5852" w14:textId="6373EED6" w:rsidR="00EE1024" w:rsidRDefault="001A4D74" w:rsidP="001A4D74">
      <w:pPr>
        <w:pStyle w:val="ListParagraph"/>
        <w:numPr>
          <w:ilvl w:val="0"/>
          <w:numId w:val="3"/>
        </w:numPr>
        <w:spacing w:after="220"/>
      </w:pPr>
      <w:r>
        <w:t>The larger toy is filled with 400 cubic inches of foam. How much foam is in the smaller version?</w:t>
      </w:r>
    </w:p>
    <w:p w14:paraId="24D3E129" w14:textId="77777777" w:rsidR="001A4D74" w:rsidRDefault="001A4D74" w:rsidP="001A4D74">
      <w:pPr>
        <w:spacing w:after="220"/>
      </w:pPr>
    </w:p>
    <w:p w14:paraId="33F2A0A9" w14:textId="77777777" w:rsidR="001A4D74" w:rsidRDefault="001A4D74">
      <w:r>
        <w:br w:type="page"/>
      </w:r>
    </w:p>
    <w:p w14:paraId="69D4E467" w14:textId="77777777" w:rsidR="001A4D74" w:rsidRDefault="0031347D" w:rsidP="001A4D74">
      <w:pPr>
        <w:pStyle w:val="Heading2"/>
      </w:pPr>
      <w:r>
        <w:lastRenderedPageBreak/>
        <w:t xml:space="preserve">EX 2: </w:t>
      </w:r>
    </w:p>
    <w:p w14:paraId="726E6388" w14:textId="77777777" w:rsidR="001A4D74" w:rsidRDefault="0031347D">
      <w:pPr>
        <w:spacing w:after="220"/>
      </w:pPr>
      <w:r>
        <w:t>A candy maker makes chocolates in the shape of lady bugs. A small ladybug is solid chocolate, has a length of 4 cm, a width of 3 cm, and a height of 1.5 cm. It has a weight of 18 grams.</w:t>
      </w:r>
    </w:p>
    <w:p w14:paraId="5B8B53F0" w14:textId="1957A4FD" w:rsidR="001A4D74" w:rsidRDefault="0031347D" w:rsidP="001A4D74">
      <w:pPr>
        <w:pStyle w:val="ListParagraph"/>
        <w:numPr>
          <w:ilvl w:val="0"/>
          <w:numId w:val="5"/>
        </w:numPr>
        <w:spacing w:after="220"/>
      </w:pPr>
      <w:r>
        <w:t xml:space="preserve">They want </w:t>
      </w:r>
      <w:proofErr w:type="gramStart"/>
      <w:r>
        <w:t>make</w:t>
      </w:r>
      <w:proofErr w:type="gramEnd"/>
      <w:r>
        <w:t xml:space="preserve"> a larger version that weighs 10 times as much and is still solid. What will the dimensions of the larger version be?</w:t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  <w:r w:rsidR="001A4D74">
        <w:br/>
      </w:r>
    </w:p>
    <w:p w14:paraId="60E82F1C" w14:textId="56B4678B" w:rsidR="00EE1024" w:rsidRDefault="0031347D" w:rsidP="001A4D74">
      <w:pPr>
        <w:pStyle w:val="ListParagraph"/>
        <w:numPr>
          <w:ilvl w:val="0"/>
          <w:numId w:val="5"/>
        </w:numPr>
        <w:spacing w:after="220"/>
      </w:pPr>
      <w:r>
        <w:t xml:space="preserve">A new version of the small </w:t>
      </w:r>
      <w:proofErr w:type="gramStart"/>
      <w:r>
        <w:t>lady bug</w:t>
      </w:r>
      <w:proofErr w:type="gramEnd"/>
      <w:r>
        <w:t xml:space="preserve"> is covered with 5 grams of red sprinkles. How many grams of sprinkles would be needed to cover the large </w:t>
      </w:r>
      <w:proofErr w:type="gramStart"/>
      <w:r>
        <w:t>lady bug</w:t>
      </w:r>
      <w:proofErr w:type="gramEnd"/>
      <w:r>
        <w:t>?</w:t>
      </w:r>
    </w:p>
    <w:sectPr w:rsidR="00EE102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1D0F"/>
    <w:multiLevelType w:val="hybridMultilevel"/>
    <w:tmpl w:val="EE7EF4FC"/>
    <w:lvl w:ilvl="0" w:tplc="080E434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CC85C04">
      <w:numFmt w:val="decimal"/>
      <w:lvlText w:val=""/>
      <w:lvlJc w:val="left"/>
    </w:lvl>
    <w:lvl w:ilvl="2" w:tplc="5E30C790">
      <w:numFmt w:val="decimal"/>
      <w:lvlText w:val=""/>
      <w:lvlJc w:val="left"/>
    </w:lvl>
    <w:lvl w:ilvl="3" w:tplc="8FCCEC80">
      <w:numFmt w:val="decimal"/>
      <w:lvlText w:val=""/>
      <w:lvlJc w:val="left"/>
    </w:lvl>
    <w:lvl w:ilvl="4" w:tplc="79C61496">
      <w:numFmt w:val="decimal"/>
      <w:lvlText w:val=""/>
      <w:lvlJc w:val="left"/>
    </w:lvl>
    <w:lvl w:ilvl="5" w:tplc="353C8B44">
      <w:numFmt w:val="decimal"/>
      <w:lvlText w:val=""/>
      <w:lvlJc w:val="left"/>
    </w:lvl>
    <w:lvl w:ilvl="6" w:tplc="3A24088E">
      <w:numFmt w:val="decimal"/>
      <w:lvlText w:val=""/>
      <w:lvlJc w:val="left"/>
    </w:lvl>
    <w:lvl w:ilvl="7" w:tplc="6A82810C">
      <w:numFmt w:val="decimal"/>
      <w:lvlText w:val=""/>
      <w:lvlJc w:val="left"/>
    </w:lvl>
    <w:lvl w:ilvl="8" w:tplc="433824A4">
      <w:numFmt w:val="decimal"/>
      <w:lvlText w:val=""/>
      <w:lvlJc w:val="left"/>
    </w:lvl>
  </w:abstractNum>
  <w:abstractNum w:abstractNumId="1" w15:restartNumberingAfterBreak="0">
    <w:nsid w:val="16F3223F"/>
    <w:multiLevelType w:val="hybridMultilevel"/>
    <w:tmpl w:val="595A2B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F2C48"/>
    <w:multiLevelType w:val="hybridMultilevel"/>
    <w:tmpl w:val="F03A89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65DEC"/>
    <w:multiLevelType w:val="hybridMultilevel"/>
    <w:tmpl w:val="C5C2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465CF"/>
    <w:multiLevelType w:val="hybridMultilevel"/>
    <w:tmpl w:val="BFEC40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587">
    <w:abstractNumId w:val="0"/>
  </w:num>
  <w:num w:numId="2" w16cid:durableId="578710206">
    <w:abstractNumId w:val="3"/>
  </w:num>
  <w:num w:numId="3" w16cid:durableId="2066752258">
    <w:abstractNumId w:val="1"/>
  </w:num>
  <w:num w:numId="4" w16cid:durableId="662243780">
    <w:abstractNumId w:val="2"/>
  </w:num>
  <w:num w:numId="5" w16cid:durableId="149445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024"/>
    <w:rsid w:val="000771CB"/>
    <w:rsid w:val="001A4D74"/>
    <w:rsid w:val="0031347D"/>
    <w:rsid w:val="003C2561"/>
    <w:rsid w:val="00465887"/>
    <w:rsid w:val="00A8517B"/>
    <w:rsid w:val="00EE1024"/>
    <w:rsid w:val="00FA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B048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Paragraph">
    <w:name w:val="List Paragraph"/>
    <w:basedOn w:val="Normal"/>
    <w:uiPriority w:val="34"/>
    <w:qFormat/>
    <w:rsid w:val="001A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297</Words>
  <Characters>1272</Characters>
  <Application>Microsoft Office Word</Application>
  <DocSecurity>0</DocSecurity>
  <Lines>90</Lines>
  <Paragraphs>38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#17e - Scaling: Starting with Area and Volume</dc:title>
  <dc:subject/>
  <dc:creator>html-to-docx</dc:creator>
  <cp:keywords>html-to-docx</cp:keywords>
  <dc:description/>
  <cp:lastModifiedBy>Karl Schwede</cp:lastModifiedBy>
  <cp:revision>4</cp:revision>
  <dcterms:created xsi:type="dcterms:W3CDTF">2026-03-02T16:59:00Z</dcterms:created>
  <dcterms:modified xsi:type="dcterms:W3CDTF">2026-04-13T03:26:00Z</dcterms:modified>
</cp:coreProperties>
</file>